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2020年政府决算公开相关资料</w:t>
      </w:r>
    </w:p>
    <w:p w:rsidR="00A54F1B" w:rsidRP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P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32"/>
          <w:szCs w:val="32"/>
        </w:rPr>
      </w:pPr>
      <w:r w:rsidRPr="00A54F1B">
        <w:rPr>
          <w:rFonts w:ascii="宋体" w:hAnsi="宋体" w:hint="eastAsia"/>
          <w:b/>
          <w:bCs/>
          <w:sz w:val="32"/>
          <w:szCs w:val="32"/>
        </w:rPr>
        <w:t>朝阳市龙城区财政局</w:t>
      </w: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A54F1B" w:rsidRDefault="00A54F1B" w:rsidP="00C36A0D">
      <w:pPr>
        <w:ind w:hanging="1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D05EC0" w:rsidRDefault="00D05EC0" w:rsidP="00C36A0D">
      <w:pPr>
        <w:ind w:hanging="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关于全区2020年财政决算情况的报告</w:t>
      </w:r>
    </w:p>
    <w:p w:rsidR="00D05EC0" w:rsidRDefault="00D05EC0" w:rsidP="00C36A0D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</w:p>
    <w:p w:rsidR="00D05EC0" w:rsidRPr="004B32EC" w:rsidRDefault="00D05EC0" w:rsidP="00C36A0D">
      <w:pPr>
        <w:spacing w:line="560" w:lineRule="exact"/>
        <w:jc w:val="center"/>
        <w:rPr>
          <w:rFonts w:ascii="仿宋" w:eastAsia="仿宋" w:hAnsi="仿宋" w:cs="楷体"/>
          <w:sz w:val="32"/>
          <w:szCs w:val="32"/>
        </w:rPr>
      </w:pPr>
      <w:r w:rsidRPr="004B32EC">
        <w:rPr>
          <w:rFonts w:ascii="仿宋" w:eastAsia="仿宋" w:hAnsi="仿宋" w:hint="eastAsia"/>
          <w:sz w:val="32"/>
          <w:szCs w:val="32"/>
        </w:rPr>
        <w:t>——</w:t>
      </w:r>
      <w:r w:rsidRPr="004B32EC">
        <w:rPr>
          <w:rFonts w:ascii="仿宋" w:eastAsia="仿宋" w:hAnsi="仿宋" w:cs="楷体" w:hint="eastAsia"/>
          <w:sz w:val="32"/>
          <w:szCs w:val="32"/>
        </w:rPr>
        <w:t>2021年5月27日在区九届人大常委会第32次会议上</w:t>
      </w:r>
    </w:p>
    <w:p w:rsidR="00D05EC0" w:rsidRPr="004B32EC" w:rsidRDefault="00D05EC0" w:rsidP="00C36A0D">
      <w:pPr>
        <w:spacing w:line="560" w:lineRule="exact"/>
        <w:ind w:left="1" w:hanging="1"/>
        <w:jc w:val="center"/>
        <w:rPr>
          <w:rFonts w:ascii="仿宋" w:eastAsia="仿宋" w:hAnsi="仿宋"/>
          <w:bCs/>
          <w:sz w:val="32"/>
          <w:szCs w:val="32"/>
        </w:rPr>
      </w:pPr>
      <w:r w:rsidRPr="004B32EC">
        <w:rPr>
          <w:rFonts w:ascii="仿宋" w:eastAsia="仿宋" w:hAnsi="仿宋" w:cs="楷体" w:hint="eastAsia"/>
          <w:bCs/>
          <w:sz w:val="32"/>
          <w:szCs w:val="32"/>
        </w:rPr>
        <w:t>区财政局局长    潘升</w:t>
      </w:r>
    </w:p>
    <w:p w:rsidR="00D05EC0" w:rsidRPr="004B32EC" w:rsidRDefault="00D05EC0" w:rsidP="00C36A0D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D05EC0" w:rsidRPr="004B32EC" w:rsidRDefault="00D05EC0" w:rsidP="00C36A0D">
      <w:pPr>
        <w:spacing w:line="600" w:lineRule="exact"/>
        <w:rPr>
          <w:rFonts w:ascii="仿宋" w:eastAsia="仿宋" w:hAnsi="仿宋"/>
          <w:sz w:val="32"/>
          <w:szCs w:val="32"/>
        </w:rPr>
      </w:pPr>
      <w:r w:rsidRPr="004B32EC">
        <w:rPr>
          <w:rFonts w:ascii="仿宋" w:eastAsia="仿宋" w:hAnsi="仿宋" w:hint="eastAsia"/>
          <w:sz w:val="32"/>
          <w:szCs w:val="32"/>
        </w:rPr>
        <w:t>主任、各位副主任，各位委员：</w:t>
      </w:r>
    </w:p>
    <w:p w:rsidR="00D05EC0" w:rsidRPr="004B32EC" w:rsidRDefault="00D05EC0" w:rsidP="00C36A0D">
      <w:pPr>
        <w:spacing w:line="600" w:lineRule="exact"/>
        <w:ind w:left="1" w:firstLineChars="200" w:firstLine="640"/>
        <w:rPr>
          <w:rFonts w:ascii="仿宋" w:eastAsia="仿宋" w:hAnsi="仿宋"/>
          <w:sz w:val="32"/>
          <w:szCs w:val="32"/>
        </w:rPr>
      </w:pPr>
      <w:r w:rsidRPr="004B32EC">
        <w:rPr>
          <w:rFonts w:ascii="仿宋" w:eastAsia="仿宋" w:hAnsi="仿宋" w:hint="eastAsia"/>
          <w:sz w:val="32"/>
          <w:szCs w:val="32"/>
        </w:rPr>
        <w:t>我受区人民政府委托，向</w:t>
      </w:r>
      <w:r w:rsidR="00C16EFC" w:rsidRPr="004B32EC">
        <w:rPr>
          <w:rFonts w:ascii="仿宋" w:eastAsia="仿宋" w:hAnsi="仿宋" w:hint="eastAsia"/>
          <w:sz w:val="32"/>
          <w:szCs w:val="32"/>
        </w:rPr>
        <w:t>本次</w:t>
      </w:r>
      <w:bookmarkStart w:id="0" w:name="_GoBack"/>
      <w:bookmarkEnd w:id="0"/>
      <w:r w:rsidRPr="004B32EC">
        <w:rPr>
          <w:rFonts w:ascii="仿宋" w:eastAsia="仿宋" w:hAnsi="仿宋" w:hint="eastAsia"/>
          <w:sz w:val="32"/>
          <w:szCs w:val="32"/>
        </w:rPr>
        <w:t>会议报告全区2020年财政收支决算情况，请予审议。</w:t>
      </w:r>
    </w:p>
    <w:p w:rsidR="00D05EC0" w:rsidRPr="004B32EC" w:rsidRDefault="00D05EC0" w:rsidP="00C36A0D">
      <w:pPr>
        <w:spacing w:line="60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4B32EC">
        <w:rPr>
          <w:rFonts w:ascii="黑体" w:eastAsia="黑体" w:hAnsi="黑体" w:hint="eastAsia"/>
          <w:bCs/>
          <w:sz w:val="32"/>
          <w:szCs w:val="32"/>
        </w:rPr>
        <w:t>一、财政决算情况</w:t>
      </w:r>
    </w:p>
    <w:p w:rsidR="00D05EC0" w:rsidRPr="004B32EC" w:rsidRDefault="00D05EC0" w:rsidP="004B32EC">
      <w:pPr>
        <w:spacing w:line="600" w:lineRule="exact"/>
        <w:ind w:firstLineChars="168" w:firstLine="540"/>
        <w:rPr>
          <w:rFonts w:ascii="楷体" w:eastAsia="楷体" w:hAnsi="楷体"/>
          <w:sz w:val="32"/>
          <w:szCs w:val="32"/>
        </w:rPr>
      </w:pPr>
      <w:r w:rsidRPr="004B32EC">
        <w:rPr>
          <w:rFonts w:ascii="楷体" w:eastAsia="楷体" w:hAnsi="楷体" w:cs="楷体_GB2312" w:hint="eastAsia"/>
          <w:b/>
          <w:bCs/>
          <w:sz w:val="32"/>
          <w:szCs w:val="32"/>
        </w:rPr>
        <w:t>（一）一般公共预算情况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B32EC">
        <w:rPr>
          <w:rFonts w:ascii="仿宋" w:eastAsia="仿宋" w:hAnsi="仿宋" w:hint="eastAsia"/>
          <w:b/>
          <w:bCs/>
          <w:sz w:val="32"/>
          <w:szCs w:val="32"/>
        </w:rPr>
        <w:t>1.收入情况：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2020年全区一般公共预算收入完成88,640万元，同比增长7.4%，增加收入6,140万元。其中：税收收入完成76,209万元，同比增长0.9%，增加收入647万元，占一般公共预算收入总量的86%；非税收入完成12,431万元，同比增长79.2%，增加收入5,493万元。加上</w:t>
      </w:r>
      <w:r w:rsidRPr="004B32EC">
        <w:rPr>
          <w:rFonts w:ascii="仿宋" w:eastAsia="仿宋" w:hAnsi="仿宋" w:hint="eastAsia"/>
          <w:sz w:val="32"/>
          <w:szCs w:val="32"/>
        </w:rPr>
        <w:t>上级补助收入116,160万元，上年结转结余收入3,178万元，调入资金收入1,548万元，债务转贷收入8,715万元，收入总计218,241万元。</w:t>
      </w: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主要收入项目情况：</w:t>
      </w:r>
      <w:r w:rsidRPr="004B32EC">
        <w:rPr>
          <w:rFonts w:ascii="仿宋" w:eastAsia="仿宋" w:hAnsi="仿宋" w:cs="仿宋" w:hint="eastAsia"/>
          <w:sz w:val="32"/>
          <w:szCs w:val="32"/>
        </w:rPr>
        <w:t>增值税35,977万元，同比下降18.3%，减少收入8,063万元，减收的主要原因是浪马轮胎、燕山湖电厂、鞍钢朝阳钢铁及议通金属同比减收；企业所得税8,455万元，同比增长66.3%，增加收入3,371万元，增收的主要原因是鞍钢朝阳钢铁、柏慧燕都、朝阳微电子科技同比增收；个人所得税2,834万元，同比增</w:t>
      </w:r>
      <w:r w:rsidRPr="004B32EC">
        <w:rPr>
          <w:rFonts w:ascii="仿宋" w:eastAsia="仿宋" w:hAnsi="仿宋" w:cs="仿宋" w:hint="eastAsia"/>
          <w:sz w:val="32"/>
          <w:szCs w:val="32"/>
        </w:rPr>
        <w:lastRenderedPageBreak/>
        <w:t>长116.2%，增加收入1,523万元，增收的主要原因是柏慧燕都、朝阳微电子科技、浪马轮胎同比增收；涉土四税17,242万元，同比增长32.1%，增加收入4,185万元，增收的主要原因是</w:t>
      </w:r>
      <w:r w:rsidRPr="004B32EC">
        <w:rPr>
          <w:rFonts w:ascii="仿宋" w:eastAsia="仿宋" w:hAnsi="仿宋" w:cs="仿宋_GB2312" w:hint="eastAsia"/>
          <w:kern w:val="0"/>
          <w:sz w:val="32"/>
          <w:szCs w:val="32"/>
        </w:rPr>
        <w:t>朝阳亚琦置业、辽宁华源嘉晨米业、朝阳永盛七星、龙城区农信社、建平农村商业银行、龙城区佳慧城中村改造同比增收</w:t>
      </w:r>
      <w:r w:rsidRPr="004B32EC">
        <w:rPr>
          <w:rFonts w:ascii="仿宋" w:eastAsia="仿宋" w:hAnsi="仿宋" w:cs="仿宋" w:hint="eastAsia"/>
          <w:sz w:val="32"/>
          <w:szCs w:val="32"/>
        </w:rPr>
        <w:t>。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B32EC">
        <w:rPr>
          <w:rFonts w:ascii="仿宋" w:eastAsia="仿宋" w:hAnsi="仿宋" w:hint="eastAsia"/>
          <w:b/>
          <w:bCs/>
          <w:sz w:val="32"/>
          <w:szCs w:val="32"/>
        </w:rPr>
        <w:t>2.支出情况：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2020年全区一般公共预算支出完成142,515万元，同比增长9.5%，增加支出12,396万元。加上</w:t>
      </w:r>
      <w:r w:rsidRPr="004B32EC">
        <w:rPr>
          <w:rFonts w:ascii="仿宋" w:eastAsia="仿宋" w:hAnsi="仿宋" w:hint="eastAsia"/>
          <w:sz w:val="32"/>
          <w:szCs w:val="32"/>
        </w:rPr>
        <w:t>上解上级支出58,285万元，债务还本支出7,195万元，结转下年10,246万元，支出总计218,241万元。</w:t>
      </w: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主要支出项目情况：</w:t>
      </w:r>
      <w:r w:rsidRPr="004B32EC">
        <w:rPr>
          <w:rFonts w:ascii="仿宋" w:eastAsia="仿宋" w:hAnsi="仿宋" w:cs="仿宋" w:hint="eastAsia"/>
          <w:sz w:val="32"/>
          <w:szCs w:val="32"/>
        </w:rPr>
        <w:t>一般公共服务支出19,692万元，同比基本持平；教育支出16,856万元，同比增长6.7%，增加支出1,062万元，增支的主要原因是教师绩效工资、乡镇工作补贴、班主任津贴支出同比增加；文化旅游体育与传媒支出1,074万元，同比增长37.2%，增加支出291万元，增支的主要原因是中央补助公共文化体系建设上级专项同比增加；社会保障和就业支出21,730万元，同比增长4%，增加支出818万元，增支的主要原因是退役士兵保险、困难群体救助等上级专项同比增加；卫生健康支出8,375万元，同比下降39%，减少支出5,337万元，减支的主要原因是</w:t>
      </w:r>
      <w:r w:rsidRPr="004B32EC">
        <w:rPr>
          <w:rFonts w:ascii="仿宋" w:eastAsia="仿宋" w:hAnsi="仿宋" w:hint="eastAsia"/>
          <w:kern w:val="0"/>
          <w:sz w:val="32"/>
          <w:szCs w:val="32"/>
        </w:rPr>
        <w:t>新农合省统筹后，上级专项同比减少</w:t>
      </w:r>
      <w:r w:rsidRPr="004B32EC">
        <w:rPr>
          <w:rFonts w:ascii="仿宋" w:eastAsia="仿宋" w:hAnsi="仿宋" w:cs="仿宋" w:hint="eastAsia"/>
          <w:sz w:val="32"/>
          <w:szCs w:val="32"/>
        </w:rPr>
        <w:t>；农林水支出29,245万元，同比增长2.4%，增加支出691万元，增支的主要原因是上年存在突破辽西北发展上级专项资金支出；住房保障支出12,884万元，同比增长91.2%，增加支出6,145万元，增支的主要原因是城镇保障安居工程上级专项同比增加。</w:t>
      </w:r>
    </w:p>
    <w:p w:rsidR="00D05EC0" w:rsidRPr="004B32EC" w:rsidRDefault="00D05EC0" w:rsidP="00C36A0D">
      <w:pPr>
        <w:spacing w:line="600" w:lineRule="exact"/>
        <w:ind w:firstLineChars="168" w:firstLine="538"/>
        <w:rPr>
          <w:rFonts w:ascii="仿宋" w:eastAsia="仿宋" w:hAnsi="仿宋"/>
          <w:sz w:val="32"/>
          <w:szCs w:val="32"/>
        </w:rPr>
      </w:pPr>
      <w:r w:rsidRPr="004B32EC">
        <w:rPr>
          <w:rFonts w:ascii="仿宋" w:eastAsia="仿宋" w:hAnsi="仿宋" w:hint="eastAsia"/>
          <w:sz w:val="32"/>
          <w:szCs w:val="32"/>
        </w:rPr>
        <w:lastRenderedPageBreak/>
        <w:t>收入和支出相抵后，当年收支平衡。</w:t>
      </w:r>
    </w:p>
    <w:p w:rsidR="00D05EC0" w:rsidRPr="004B32EC" w:rsidRDefault="00D05EC0" w:rsidP="004B32EC">
      <w:pPr>
        <w:spacing w:line="600" w:lineRule="exact"/>
        <w:ind w:firstLineChars="168" w:firstLine="540"/>
        <w:rPr>
          <w:rFonts w:ascii="楷体" w:eastAsia="楷体" w:hAnsi="楷体"/>
          <w:sz w:val="32"/>
          <w:szCs w:val="32"/>
        </w:rPr>
      </w:pPr>
      <w:r w:rsidRPr="004B32EC">
        <w:rPr>
          <w:rFonts w:ascii="楷体" w:eastAsia="楷体" w:hAnsi="楷体" w:cs="楷体" w:hint="eastAsia"/>
          <w:b/>
          <w:bCs/>
          <w:sz w:val="32"/>
          <w:szCs w:val="32"/>
        </w:rPr>
        <w:t>（二）政府性基金预算情况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 w:rsidRPr="004B32EC">
        <w:rPr>
          <w:rFonts w:ascii="仿宋" w:eastAsia="仿宋" w:hAnsi="仿宋" w:hint="eastAsia"/>
          <w:b/>
          <w:bCs/>
          <w:sz w:val="32"/>
          <w:szCs w:val="32"/>
        </w:rPr>
        <w:t>1.收入情况：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2020年全区政府性基金收入完成83,873万元，加上上级补助收入7,154万元，地方政府专项债务转贷收入27,792万元，调入资金11万元，上年结转结余收入416万元，收入总计119,246万元。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B32EC">
        <w:rPr>
          <w:rFonts w:ascii="仿宋" w:eastAsia="仿宋" w:hAnsi="仿宋" w:hint="eastAsia"/>
          <w:b/>
          <w:bCs/>
          <w:sz w:val="32"/>
          <w:szCs w:val="32"/>
        </w:rPr>
        <w:t>2.支出情况：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2020年全区政府性基金支出完成111,367万元，加上调出资金891万元，地方政府专项债务还本支出4,792万元，结转下年2,196万元，支出总计119,246万元。</w:t>
      </w:r>
    </w:p>
    <w:p w:rsidR="00D05EC0" w:rsidRPr="004B32EC" w:rsidRDefault="00D05EC0" w:rsidP="00C36A0D">
      <w:pPr>
        <w:spacing w:line="600" w:lineRule="exact"/>
        <w:ind w:firstLineChars="168" w:firstLine="538"/>
        <w:rPr>
          <w:rFonts w:ascii="仿宋" w:eastAsia="仿宋" w:hAnsi="仿宋"/>
          <w:sz w:val="32"/>
          <w:szCs w:val="32"/>
        </w:rPr>
      </w:pPr>
      <w:r w:rsidRPr="004B32EC">
        <w:rPr>
          <w:rFonts w:ascii="仿宋" w:eastAsia="仿宋" w:hAnsi="仿宋" w:hint="eastAsia"/>
          <w:sz w:val="32"/>
          <w:szCs w:val="32"/>
        </w:rPr>
        <w:t>收入和支出相抵后，当年收支平衡。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楷体" w:eastAsia="楷体" w:hAnsi="楷体"/>
          <w:sz w:val="32"/>
          <w:szCs w:val="32"/>
        </w:rPr>
      </w:pPr>
      <w:r w:rsidRPr="004B32EC">
        <w:rPr>
          <w:rFonts w:ascii="楷体" w:eastAsia="楷体" w:hAnsi="楷体" w:cs="楷体" w:hint="eastAsia"/>
          <w:b/>
          <w:bCs/>
          <w:sz w:val="32"/>
          <w:szCs w:val="32"/>
        </w:rPr>
        <w:t>（三）社会保险基金预算情况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1.收入情况：</w:t>
      </w:r>
      <w:r w:rsidRPr="004B32EC">
        <w:rPr>
          <w:rFonts w:ascii="仿宋" w:eastAsia="仿宋" w:hAnsi="仿宋" w:cs="仿宋" w:hint="eastAsia"/>
          <w:sz w:val="32"/>
          <w:szCs w:val="32"/>
        </w:rPr>
        <w:t>2020年全区社会保险基金收入完成51,694万元。其中：企业职工养老保险基金8,994万元、机关事业单位养老保险基金8,598万元、失业保险基金793万元、职工医疗保险基金15,019万元、城乡居民医疗保险基金12,144万元、城乡居民基本养老保险基金5,737万元、工伤保险基金409万元。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2.支出情况：</w:t>
      </w:r>
      <w:r w:rsidRPr="004B32EC">
        <w:rPr>
          <w:rFonts w:ascii="仿宋" w:eastAsia="仿宋" w:hAnsi="仿宋" w:cs="仿宋" w:hint="eastAsia"/>
          <w:sz w:val="32"/>
          <w:szCs w:val="32"/>
        </w:rPr>
        <w:t>2020年全区社会保险基金支出完成30,909万元。其中：企业职工养老保险基金8,760万元、机关事业单位养老保险基金8,598万元、失业保险基金305万元、职工医疗保险基金3,115万元、城乡居民医疗保险基金5,489万元、城乡居民基本养老保险基金4,249万元、工伤保险基金393万元。</w:t>
      </w:r>
    </w:p>
    <w:p w:rsidR="00D05EC0" w:rsidRPr="004B32EC" w:rsidRDefault="00D05EC0" w:rsidP="00C36A0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32EC">
        <w:rPr>
          <w:rFonts w:ascii="仿宋" w:eastAsia="仿宋" w:hAnsi="仿宋" w:cs="仿宋" w:hint="eastAsia"/>
          <w:sz w:val="32"/>
          <w:szCs w:val="32"/>
        </w:rPr>
        <w:t>社会保险基金当年收入能够满足支出需求。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楷体" w:eastAsia="楷体" w:hAnsi="楷体"/>
          <w:sz w:val="32"/>
          <w:szCs w:val="32"/>
        </w:rPr>
      </w:pPr>
      <w:r w:rsidRPr="004B32EC">
        <w:rPr>
          <w:rFonts w:ascii="楷体" w:eastAsia="楷体" w:hAnsi="楷体" w:cs="楷体" w:hint="eastAsia"/>
          <w:b/>
          <w:bCs/>
          <w:sz w:val="32"/>
          <w:szCs w:val="32"/>
        </w:rPr>
        <w:t>（四）国有资本经营预算情况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1.</w:t>
      </w:r>
      <w:r w:rsidRPr="004B32EC">
        <w:rPr>
          <w:rFonts w:ascii="仿宋" w:eastAsia="仿宋" w:hAnsi="仿宋" w:cs="仿宋_GB2312" w:hint="eastAsia"/>
          <w:b/>
          <w:bCs/>
          <w:sz w:val="32"/>
          <w:szCs w:val="32"/>
        </w:rPr>
        <w:t>收入情况：</w:t>
      </w:r>
      <w:r w:rsidRPr="004B32EC">
        <w:rPr>
          <w:rFonts w:ascii="仿宋" w:eastAsia="仿宋" w:hAnsi="仿宋" w:cs="仿宋_GB2312" w:hint="eastAsia"/>
          <w:sz w:val="32"/>
          <w:szCs w:val="32"/>
        </w:rPr>
        <w:t>2020年全区国有资本经营预算收入完成7万元，收入总计7万元。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 w:rsidRPr="004B32EC">
        <w:rPr>
          <w:rFonts w:ascii="仿宋" w:eastAsia="仿宋" w:hAnsi="仿宋" w:cs="仿宋_GB2312" w:hint="eastAsia"/>
          <w:b/>
          <w:bCs/>
          <w:sz w:val="32"/>
          <w:szCs w:val="32"/>
        </w:rPr>
        <w:t>支出情况：</w:t>
      </w:r>
      <w:r w:rsidRPr="004B32EC">
        <w:rPr>
          <w:rFonts w:ascii="仿宋" w:eastAsia="仿宋" w:hAnsi="仿宋" w:cs="仿宋_GB2312" w:hint="eastAsia"/>
          <w:sz w:val="32"/>
          <w:szCs w:val="32"/>
        </w:rPr>
        <w:t>2020年全区国有资本经营预算支出完成7万元，支出总计7万元。</w:t>
      </w:r>
    </w:p>
    <w:p w:rsidR="00D05EC0" w:rsidRPr="004B32EC" w:rsidRDefault="00D05EC0" w:rsidP="00C36A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32EC">
        <w:rPr>
          <w:rFonts w:ascii="仿宋" w:eastAsia="仿宋" w:hAnsi="仿宋" w:cs="仿宋_GB2312" w:hint="eastAsia"/>
          <w:sz w:val="32"/>
          <w:szCs w:val="32"/>
        </w:rPr>
        <w:t>收入和支出相抵后，当年收支平衡。</w:t>
      </w:r>
    </w:p>
    <w:p w:rsidR="00D05EC0" w:rsidRPr="004B32EC" w:rsidRDefault="00D05EC0" w:rsidP="00C36A0D">
      <w:pPr>
        <w:spacing w:line="60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4B32EC">
        <w:rPr>
          <w:rFonts w:ascii="黑体" w:eastAsia="黑体" w:hAnsi="黑体" w:cs="黑体" w:hint="eastAsia"/>
          <w:sz w:val="32"/>
          <w:szCs w:val="32"/>
        </w:rPr>
        <w:t>二、主要工作完成情况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4B32EC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</w:t>
      </w:r>
      <w:r w:rsidRPr="004B32EC">
        <w:rPr>
          <w:rFonts w:ascii="楷体" w:eastAsia="楷体" w:hAnsi="楷体" w:cs="楷体" w:hint="eastAsia"/>
          <w:b/>
          <w:bCs/>
          <w:sz w:val="32"/>
          <w:szCs w:val="32"/>
        </w:rPr>
        <w:t>多方争取资金，切实提高保障能力</w:t>
      </w:r>
    </w:p>
    <w:p w:rsidR="00D05EC0" w:rsidRPr="004B32EC" w:rsidRDefault="00D05EC0" w:rsidP="00C36A0D">
      <w:pPr>
        <w:spacing w:line="600" w:lineRule="exact"/>
        <w:ind w:firstLineChars="200" w:firstLine="640"/>
        <w:rPr>
          <w:rFonts w:ascii="仿宋" w:eastAsia="仿宋" w:hAnsi="仿宋" w:cs="楷体"/>
          <w:b/>
          <w:bCs/>
          <w:color w:val="000000"/>
          <w:sz w:val="32"/>
          <w:szCs w:val="32"/>
        </w:rPr>
      </w:pPr>
      <w:r w:rsidRPr="004B32EC">
        <w:rPr>
          <w:rFonts w:ascii="仿宋" w:eastAsia="仿宋" w:hAnsi="仿宋" w:cs="仿宋" w:hint="eastAsia"/>
          <w:sz w:val="32"/>
          <w:szCs w:val="32"/>
        </w:rPr>
        <w:t>为应对疫情，保障经济发展，财政会同各部门在全力组织收入的同时，进一步加大向上争取资金力度，组成向上争取专班，通过各种途径向上级部门努力争取各项资金政策。争取专项债券资金23,000万元，一般债券资金1,521万元，抗疫特别国债5,367万元，棚改国开行贷款18,800万元，基金专项补助资金7,154万元，上级专项补助资金114,420万元，共计164,895万元</w:t>
      </w:r>
      <w:r w:rsidRPr="004B32EC">
        <w:rPr>
          <w:rFonts w:ascii="仿宋" w:eastAsia="仿宋" w:hAnsi="仿宋" w:hint="eastAsia"/>
          <w:sz w:val="32"/>
          <w:szCs w:val="32"/>
        </w:rPr>
        <w:t>。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4B32EC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（二）优化支出结构</w:t>
      </w:r>
      <w:r w:rsidRPr="004B32EC">
        <w:rPr>
          <w:rFonts w:ascii="楷体" w:eastAsia="楷体" w:hAnsi="楷体" w:cs="楷体" w:hint="eastAsia"/>
          <w:b/>
          <w:bCs/>
          <w:sz w:val="32"/>
          <w:szCs w:val="32"/>
        </w:rPr>
        <w:t>，切实保障财政平稳运行</w:t>
      </w:r>
    </w:p>
    <w:p w:rsidR="00D05EC0" w:rsidRPr="004B32EC" w:rsidRDefault="00D05EC0" w:rsidP="00C36A0D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2020年</w:t>
      </w:r>
      <w:r w:rsidRPr="004B32EC">
        <w:rPr>
          <w:rFonts w:ascii="仿宋" w:eastAsia="仿宋" w:hAnsi="仿宋" w:cs="仿宋" w:hint="eastAsia"/>
          <w:sz w:val="32"/>
          <w:szCs w:val="32"/>
        </w:rPr>
        <w:t>面对减税降费、疫情影响、重点企业税收下滑等诸多不利因素，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财政支出需求形势严峻。财政部门</w:t>
      </w:r>
      <w:r w:rsidRPr="004B32EC">
        <w:rPr>
          <w:rFonts w:ascii="仿宋" w:eastAsia="仿宋" w:hAnsi="仿宋" w:cs="仿宋" w:hint="eastAsia"/>
          <w:sz w:val="32"/>
          <w:szCs w:val="32"/>
        </w:rPr>
        <w:t>在全力组织财政收入的同时，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采取更严格的压减支出应对措施，</w:t>
      </w:r>
      <w:r w:rsidRPr="004B32EC">
        <w:rPr>
          <w:rFonts w:ascii="仿宋" w:eastAsia="仿宋" w:hAnsi="仿宋" w:cs="仿宋" w:hint="eastAsia"/>
          <w:sz w:val="32"/>
          <w:szCs w:val="32"/>
        </w:rPr>
        <w:t>压减非重点、非急需支出，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一般性支出平均压减16%，非刚性、非急需支出压减50%，</w:t>
      </w:r>
      <w:r w:rsidRPr="004B32EC">
        <w:rPr>
          <w:rFonts w:ascii="仿宋" w:eastAsia="仿宋" w:hAnsi="仿宋" w:cs="仿宋" w:hint="eastAsia"/>
          <w:sz w:val="32"/>
          <w:szCs w:val="32"/>
        </w:rPr>
        <w:t>将财政资金优先用于“三保”等重点支出，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努力为全区经济社会事业和谐发展提供基本的财力保障。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1.全力保障“三保”等刚性支出。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集中财力优先保障“三保”等重点支出，确保了全区公教人员工资、绩效工资等各项资金的正常发放。拨付资金2,353万元用于发放农村教师差异化补助、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班主任津贴、2015-2017年乡镇公教人员补贴、教师与公务员差额工资补助等。拨付资金1,056万元用于支持</w:t>
      </w:r>
      <w:r w:rsidRPr="004B32EC">
        <w:rPr>
          <w:rFonts w:ascii="仿宋" w:eastAsia="仿宋" w:hAnsi="仿宋" w:cs="仿宋" w:hint="eastAsia"/>
          <w:sz w:val="32"/>
          <w:szCs w:val="32"/>
        </w:rPr>
        <w:t>国防、信访维稳、扫黑除恶、安全生产、党建项目等工作。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 w:rsidRPr="004B32E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全力开展脱贫攻坚。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整合各类资金11,657万元，占可整合资金总额的50.13%，用于脱贫攻坚工作。</w:t>
      </w:r>
      <w:r w:rsidRPr="004B32EC">
        <w:rPr>
          <w:rFonts w:ascii="仿宋" w:eastAsia="仿宋" w:hAnsi="仿宋" w:cs="仿宋" w:hint="eastAsia"/>
          <w:sz w:val="32"/>
          <w:szCs w:val="32"/>
        </w:rPr>
        <w:t>拨付资金6,707万元用于建设光伏扶贫电站项目、支持产业扶贫、贫困户危房改造、扶持壮大村级集体经济发展项目等工作。注册开通采购国家贫困县农副产品账号单位18家，预算预留比例全部达标。</w:t>
      </w:r>
    </w:p>
    <w:p w:rsidR="00D05EC0" w:rsidRPr="004B32EC" w:rsidRDefault="00D05EC0" w:rsidP="004B32EC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3.全力支持疫情防控。</w:t>
      </w:r>
      <w:r w:rsidRPr="004B32EC">
        <w:rPr>
          <w:rFonts w:ascii="仿宋" w:eastAsia="仿宋" w:hAnsi="仿宋" w:cs="仿宋" w:hint="eastAsia"/>
          <w:sz w:val="32"/>
          <w:szCs w:val="32"/>
        </w:rPr>
        <w:t>拨付资金1,757万元用于疫情防控工作。疫情期间，</w:t>
      </w:r>
      <w:r w:rsidRPr="004B32EC">
        <w:rPr>
          <w:rFonts w:ascii="仿宋" w:eastAsia="仿宋" w:hAnsi="仿宋" w:cs="仿宋" w:hint="eastAsia"/>
          <w:kern w:val="0"/>
          <w:sz w:val="32"/>
          <w:szCs w:val="32"/>
        </w:rPr>
        <w:t>开通了政府采购“绿色通道”，实行先采购后备案，确保疫情防控所需物资及时采购。</w:t>
      </w:r>
      <w:r w:rsidRPr="004B32EC">
        <w:rPr>
          <w:rFonts w:ascii="仿宋" w:eastAsia="仿宋" w:hAnsi="仿宋" w:cs="仿宋" w:hint="eastAsia"/>
          <w:sz w:val="32"/>
          <w:szCs w:val="32"/>
        </w:rPr>
        <w:t>通过减税降费、贷款贴息、加大资金投入等政策，助推中小微企业渡过难关，投入扶持企业发展资金3,993万元，全力促进企业复工复产。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4.全力推进“飞地经济”工作。</w:t>
      </w:r>
      <w:r w:rsidRPr="004B32EC">
        <w:rPr>
          <w:rFonts w:ascii="仿宋" w:eastAsia="仿宋" w:hAnsi="仿宋" w:cs="仿宋" w:hint="eastAsia"/>
          <w:sz w:val="32"/>
          <w:szCs w:val="32"/>
        </w:rPr>
        <w:t>确立省、市飞地专属园区8个，对接项目61个，计划总投资79.71亿元。其中：落地开工23个，为市定任务的127.78%，综合排名全市第三名，计划总投资23.86亿元，开工项目中已入统项目16个；签约项目6个,计划总投资4.72亿元；洽谈项目32个，计划总投资51.13亿元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5.全力支持园区经济建设。</w:t>
      </w:r>
      <w:r w:rsidRPr="004B32EC">
        <w:rPr>
          <w:rFonts w:ascii="仿宋" w:eastAsia="仿宋" w:hAnsi="仿宋" w:cs="仿宋" w:hint="eastAsia"/>
          <w:sz w:val="32"/>
          <w:szCs w:val="32"/>
        </w:rPr>
        <w:t>拨付资金29,742万元支持</w:t>
      </w:r>
      <w:r w:rsidRPr="004B32EC">
        <w:rPr>
          <w:rFonts w:ascii="仿宋" w:eastAsia="仿宋" w:hAnsi="仿宋" w:cs="仿宋" w:hint="eastAsia"/>
          <w:kern w:val="0"/>
          <w:sz w:val="32"/>
          <w:szCs w:val="32"/>
        </w:rPr>
        <w:t>园区基本建设、“</w:t>
      </w:r>
      <w:r w:rsidRPr="004B32EC">
        <w:rPr>
          <w:rFonts w:ascii="仿宋" w:eastAsia="仿宋" w:hAnsi="仿宋" w:cs="仿宋" w:hint="eastAsia"/>
          <w:sz w:val="32"/>
          <w:szCs w:val="32"/>
        </w:rPr>
        <w:t>飞地经济”产业发展、支持园区重点工程建设、扶持园区企业发展等，减除疫情带来影响，推动科技发展，助力园区企业做大做强，为园区招商引资建设提供强有力的资金保障。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6.</w:t>
      </w:r>
      <w:r w:rsidRPr="004B32E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全力支持重点项目建设。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拨付</w:t>
      </w:r>
      <w:r w:rsidRPr="004B32EC">
        <w:rPr>
          <w:rFonts w:ascii="仿宋" w:eastAsia="仿宋" w:hAnsi="仿宋" w:cs="仿宋" w:hint="eastAsia"/>
          <w:sz w:val="32"/>
          <w:szCs w:val="32"/>
        </w:rPr>
        <w:t>资金25,448万元用于支持</w:t>
      </w:r>
      <w:r w:rsidRPr="004B32EC">
        <w:rPr>
          <w:rFonts w:ascii="仿宋" w:eastAsia="仿宋" w:hAnsi="仿宋" w:cs="仿宋" w:hint="eastAsia"/>
          <w:sz w:val="32"/>
          <w:szCs w:val="32"/>
        </w:rPr>
        <w:lastRenderedPageBreak/>
        <w:t>中央财政棚户区改造、老旧小区改造、公共租赁补贴等保障性安居工程。拨付资金16,321万元用于支持“一事一议”村内道路、建设美丽乡村示范村、农业生产发展、高标准农田建设、中小河流治理、水库移民后期扶持项目等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  <w:highlight w:val="lightGray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7.全力改善城乡环境卫生。</w:t>
      </w:r>
      <w:r w:rsidRPr="004B32EC">
        <w:rPr>
          <w:rFonts w:ascii="仿宋" w:eastAsia="仿宋" w:hAnsi="仿宋" w:cs="仿宋" w:hint="eastAsia"/>
          <w:sz w:val="32"/>
          <w:szCs w:val="32"/>
        </w:rPr>
        <w:t>拨付资金5,723万元用于支持城乡基础设施建设、城乡公路交通建设及养护、环保治理、农村环境卫生整治、城区环境整治及</w:t>
      </w:r>
      <w:r w:rsidRPr="004B32EC">
        <w:rPr>
          <w:rFonts w:ascii="仿宋" w:eastAsia="仿宋" w:hAnsi="仿宋" w:cs="仿宋" w:hint="eastAsia"/>
          <w:kern w:val="0"/>
          <w:sz w:val="32"/>
          <w:szCs w:val="32"/>
        </w:rPr>
        <w:t>垃圾清运</w:t>
      </w:r>
      <w:r w:rsidRPr="004B32EC">
        <w:rPr>
          <w:rFonts w:ascii="仿宋" w:eastAsia="仿宋" w:hAnsi="仿宋" w:cs="仿宋" w:hint="eastAsia"/>
          <w:sz w:val="32"/>
          <w:szCs w:val="32"/>
        </w:rPr>
        <w:t>等，努力提高生态文明建设水平，为人民群众创造宜居和谐的生活环境。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8.全力做好社会保障工作。</w:t>
      </w:r>
      <w:r w:rsidRPr="004B32EC">
        <w:rPr>
          <w:rFonts w:ascii="仿宋" w:eastAsia="仿宋" w:hAnsi="仿宋" w:cs="仿宋" w:hint="eastAsia"/>
          <w:sz w:val="32"/>
          <w:szCs w:val="32"/>
        </w:rPr>
        <w:t>拨付资金15,086万元用于支持村（社区）基层组织运转、特困群众生活补助、农村危房改造、资助贫困人口参保、公共卫生服务、计划生育、退役军人优抚金、残疾人补助、就业创业等各项工作。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9.全面落实惠农惠民政策。</w:t>
      </w:r>
      <w:r w:rsidRPr="004B32EC">
        <w:rPr>
          <w:rFonts w:ascii="仿宋" w:eastAsia="仿宋" w:hAnsi="仿宋" w:cs="仿宋" w:hint="eastAsia"/>
          <w:sz w:val="32"/>
          <w:szCs w:val="32"/>
        </w:rPr>
        <w:t>拨付资金5,991万元用于支持水库移民直补、耕地地力补贴、</w:t>
      </w:r>
      <w:r w:rsidRPr="004B32EC">
        <w:rPr>
          <w:rFonts w:ascii="仿宋" w:eastAsia="仿宋" w:hAnsi="仿宋" w:cs="仿宋" w:hint="eastAsia"/>
          <w:kern w:val="0"/>
          <w:sz w:val="32"/>
          <w:szCs w:val="32"/>
        </w:rPr>
        <w:t>大豆玉米补贴、</w:t>
      </w:r>
      <w:r w:rsidRPr="004B32EC">
        <w:rPr>
          <w:rFonts w:ascii="仿宋" w:eastAsia="仿宋" w:hAnsi="仿宋" w:cs="仿宋" w:hint="eastAsia"/>
          <w:sz w:val="32"/>
          <w:szCs w:val="32"/>
        </w:rPr>
        <w:t>乡村振兴产业发展、中德合作造林项目等。拨付资金1,941万元用于林业、养殖业、大田玉米等农业政策型保险投保及小额贷款贴息。实现了惠民补贴资金“一卡通”发放镇街全覆盖，发放补贴项目39个，累计发放补贴资金48,927万元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10.</w:t>
      </w:r>
      <w:r w:rsidRPr="004B32E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全力支持科教文旅事业发展。</w:t>
      </w:r>
      <w:r w:rsidRPr="004B32EC">
        <w:rPr>
          <w:rFonts w:ascii="仿宋" w:eastAsia="仿宋" w:hAnsi="仿宋" w:cs="仿宋" w:hint="eastAsia"/>
          <w:color w:val="000000"/>
          <w:sz w:val="32"/>
          <w:szCs w:val="32"/>
        </w:rPr>
        <w:t>拨付资金4,626万元用于支持全区中小学及幼儿园正常运转，支持</w:t>
      </w:r>
      <w:r w:rsidRPr="004B32EC">
        <w:rPr>
          <w:rFonts w:ascii="仿宋" w:eastAsia="仿宋" w:hAnsi="仿宋" w:cs="仿宋" w:hint="eastAsia"/>
          <w:bCs/>
          <w:sz w:val="32"/>
          <w:szCs w:val="32"/>
        </w:rPr>
        <w:t>厕所革命、教学基础设备设施、科技</w:t>
      </w:r>
      <w:r w:rsidRPr="004B32EC">
        <w:rPr>
          <w:rFonts w:ascii="仿宋" w:eastAsia="仿宋" w:hAnsi="仿宋" w:cs="仿宋" w:hint="eastAsia"/>
          <w:sz w:val="32"/>
          <w:szCs w:val="32"/>
        </w:rPr>
        <w:t>、文化、旅游</w:t>
      </w:r>
      <w:r w:rsidRPr="004B32EC">
        <w:rPr>
          <w:rFonts w:ascii="仿宋" w:eastAsia="仿宋" w:hAnsi="仿宋" w:cs="仿宋" w:hint="eastAsia"/>
          <w:bCs/>
          <w:sz w:val="32"/>
          <w:szCs w:val="32"/>
        </w:rPr>
        <w:t>等项目建设。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4B32EC">
        <w:rPr>
          <w:rFonts w:ascii="楷体" w:eastAsia="楷体" w:hAnsi="楷体" w:cs="楷体" w:hint="eastAsia"/>
          <w:b/>
          <w:sz w:val="32"/>
          <w:szCs w:val="32"/>
        </w:rPr>
        <w:t>（三）加强财政</w:t>
      </w:r>
      <w:r w:rsidRPr="004B32EC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管理，</w:t>
      </w:r>
      <w:r w:rsidRPr="004B32EC">
        <w:rPr>
          <w:rFonts w:ascii="楷体" w:eastAsia="楷体" w:hAnsi="楷体" w:cs="楷体" w:hint="eastAsia"/>
          <w:b/>
          <w:bCs/>
          <w:sz w:val="32"/>
          <w:szCs w:val="32"/>
        </w:rPr>
        <w:t>建立健全管理体系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1.国库集中支付全覆盖。</w:t>
      </w:r>
      <w:r w:rsidRPr="004B32EC">
        <w:rPr>
          <w:rFonts w:ascii="仿宋" w:eastAsia="仿宋" w:hAnsi="仿宋" w:hint="eastAsia"/>
          <w:sz w:val="32"/>
          <w:szCs w:val="32"/>
        </w:rPr>
        <w:t>2020年我区新开通线上集中支付</w:t>
      </w:r>
      <w:r w:rsidRPr="004B32EC">
        <w:rPr>
          <w:rFonts w:ascii="仿宋" w:eastAsia="仿宋" w:hAnsi="仿宋" w:hint="eastAsia"/>
          <w:sz w:val="32"/>
          <w:szCs w:val="32"/>
        </w:rPr>
        <w:lastRenderedPageBreak/>
        <w:t>12家，实现区本级预算单位国库集中支付全覆盖，6个镇国库集中支付已上线运行，规范了资金支付程序，强化了预算监督管理。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2.加强国有资产及国有企业管理工作。</w:t>
      </w:r>
      <w:r w:rsidRPr="004B32EC">
        <w:rPr>
          <w:rFonts w:ascii="仿宋" w:eastAsia="仿宋" w:hAnsi="仿宋" w:cs="仿宋" w:hint="eastAsia"/>
          <w:kern w:val="0"/>
          <w:sz w:val="32"/>
          <w:szCs w:val="32"/>
        </w:rPr>
        <w:t>开展了全区不动产国有资产专项清查，为开展</w:t>
      </w:r>
      <w:r w:rsidRPr="004B32EC">
        <w:rPr>
          <w:rFonts w:ascii="仿宋" w:eastAsia="仿宋" w:hAnsi="仿宋" w:hint="eastAsia"/>
          <w:sz w:val="32"/>
          <w:szCs w:val="32"/>
        </w:rPr>
        <w:t>盘活</w:t>
      </w:r>
      <w:r w:rsidRPr="004B32EC">
        <w:rPr>
          <w:rFonts w:ascii="仿宋" w:eastAsia="仿宋" w:hAnsi="仿宋" w:cs="仿宋" w:hint="eastAsia"/>
          <w:sz w:val="32"/>
          <w:szCs w:val="32"/>
        </w:rPr>
        <w:t>及科学利用</w:t>
      </w:r>
      <w:r w:rsidRPr="004B32EC">
        <w:rPr>
          <w:rFonts w:ascii="仿宋" w:eastAsia="仿宋" w:hAnsi="仿宋" w:hint="eastAsia"/>
          <w:sz w:val="32"/>
          <w:szCs w:val="32"/>
        </w:rPr>
        <w:t>闲置资产</w:t>
      </w:r>
      <w:r w:rsidRPr="004B32EC">
        <w:rPr>
          <w:rFonts w:ascii="仿宋" w:eastAsia="仿宋" w:hAnsi="仿宋" w:cs="仿宋" w:hint="eastAsia"/>
          <w:sz w:val="32"/>
          <w:szCs w:val="32"/>
        </w:rPr>
        <w:t>提供了数据保障</w:t>
      </w:r>
      <w:r w:rsidRPr="004B32EC">
        <w:rPr>
          <w:rFonts w:ascii="仿宋" w:eastAsia="仿宋" w:hAnsi="仿宋" w:cs="仿宋" w:hint="eastAsia"/>
          <w:kern w:val="0"/>
          <w:sz w:val="32"/>
          <w:szCs w:val="32"/>
        </w:rPr>
        <w:t>；</w:t>
      </w:r>
      <w:r w:rsidRPr="004B32EC">
        <w:rPr>
          <w:rFonts w:ascii="仿宋" w:eastAsia="仿宋" w:hAnsi="仿宋" w:cs="仿宋" w:hint="eastAsia"/>
          <w:sz w:val="32"/>
          <w:szCs w:val="32"/>
        </w:rPr>
        <w:t>顺利完成国有企业退休人员社会化管理工作，国企退休人员全部实现社会化。</w:t>
      </w:r>
    </w:p>
    <w:p w:rsidR="00D05EC0" w:rsidRPr="004B32EC" w:rsidRDefault="00D05EC0" w:rsidP="004B32EC">
      <w:pPr>
        <w:pStyle w:val="a0"/>
        <w:spacing w:line="600" w:lineRule="exact"/>
        <w:ind w:firstLineChars="200" w:firstLine="643"/>
        <w:rPr>
          <w:rFonts w:ascii="仿宋" w:eastAsia="仿宋" w:hAnsi="仿宋" w:cs="仿宋"/>
          <w:spacing w:val="-6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 w:rsidRPr="004B32EC">
        <w:rPr>
          <w:rFonts w:ascii="仿宋" w:eastAsia="仿宋" w:hAnsi="仿宋" w:cs="仿宋" w:hint="eastAsia"/>
          <w:b/>
          <w:sz w:val="32"/>
          <w:szCs w:val="32"/>
        </w:rPr>
        <w:t>规范</w:t>
      </w: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财政投资审核、政府采购和财政监督工作。</w:t>
      </w:r>
      <w:r w:rsidRPr="004B32EC">
        <w:rPr>
          <w:rFonts w:ascii="仿宋" w:eastAsia="仿宋" w:hAnsi="仿宋" w:cs="仿宋" w:hint="eastAsia"/>
          <w:sz w:val="32"/>
          <w:szCs w:val="32"/>
        </w:rPr>
        <w:t>继续加大对财政投融资工程项目的审核力度，立足于服务全区经济工作，改革审核方式、创新工作方法。审</w:t>
      </w:r>
      <w:r w:rsidRPr="004B32EC">
        <w:rPr>
          <w:rFonts w:ascii="仿宋" w:eastAsia="仿宋" w:hAnsi="仿宋" w:cs="仿宋" w:hint="eastAsia"/>
          <w:spacing w:val="-6"/>
          <w:sz w:val="32"/>
          <w:szCs w:val="32"/>
        </w:rPr>
        <w:t>核各类建设项目</w:t>
      </w:r>
      <w:r w:rsidRPr="004B32EC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</w:rPr>
        <w:t>449个，审定金额45,717万元，节省资金14,825万元，审减率达24.5%</w:t>
      </w:r>
      <w:r w:rsidRPr="004B32EC">
        <w:rPr>
          <w:rFonts w:ascii="仿宋" w:eastAsia="仿宋" w:hAnsi="仿宋" w:cs="仿宋" w:hint="eastAsia"/>
          <w:spacing w:val="-6"/>
          <w:sz w:val="32"/>
          <w:szCs w:val="32"/>
        </w:rPr>
        <w:t>。完成政府采购项目25个，采购预算1,439万元，实际采购支出1,307万元，节约资金132万元，节支率9.2%。加大财政监督力度，重点对涉农、中小学校和疫情防控资金进行专项督查，确保资金使用规范安全。</w:t>
      </w:r>
    </w:p>
    <w:p w:rsidR="00D05EC0" w:rsidRPr="00C36A0D" w:rsidRDefault="00D05EC0" w:rsidP="004B32EC">
      <w:pPr>
        <w:spacing w:line="600" w:lineRule="exact"/>
        <w:ind w:firstLineChars="225" w:firstLine="723"/>
        <w:rPr>
          <w:rFonts w:ascii="仿宋_GB2312" w:eastAsia="仿宋_GB2312" w:hAnsi="仿宋" w:cs="仿宋"/>
          <w:sz w:val="32"/>
          <w:szCs w:val="32"/>
        </w:rPr>
      </w:pPr>
      <w:r w:rsidRPr="004B32EC">
        <w:rPr>
          <w:rFonts w:ascii="仿宋" w:eastAsia="仿宋" w:hAnsi="仿宋" w:cs="仿宋" w:hint="eastAsia"/>
          <w:b/>
          <w:bCs/>
          <w:sz w:val="32"/>
          <w:szCs w:val="32"/>
        </w:rPr>
        <w:t>4.积极防范化解债务风险。</w:t>
      </w:r>
      <w:r w:rsidRPr="004B32EC">
        <w:rPr>
          <w:rFonts w:ascii="仿宋" w:eastAsia="仿宋" w:hAnsi="仿宋" w:cs="仿宋" w:hint="eastAsia"/>
          <w:sz w:val="32"/>
          <w:szCs w:val="32"/>
        </w:rPr>
        <w:t>2020年我区共偿还政府债务本息28,801万元，其中偿还本金18,378万元，偿还利息10,423万元，确保我区守住债务风险的底线。</w:t>
      </w:r>
    </w:p>
    <w:p w:rsidR="00D05EC0" w:rsidRPr="00C36A0D" w:rsidRDefault="00D05EC0" w:rsidP="00C36A0D">
      <w:pPr>
        <w:pStyle w:val="a0"/>
        <w:spacing w:line="600" w:lineRule="exact"/>
        <w:ind w:firstLine="0"/>
        <w:rPr>
          <w:rFonts w:ascii="仿宋_GB2312" w:eastAsia="仿宋_GB2312" w:hAnsi="仿宋" w:cs="仿宋"/>
          <w:sz w:val="32"/>
          <w:szCs w:val="32"/>
        </w:rPr>
      </w:pPr>
    </w:p>
    <w:p w:rsidR="00D05EC0" w:rsidRPr="00891E07" w:rsidRDefault="00884278" w:rsidP="00C36A0D">
      <w:pPr>
        <w:pStyle w:val="a0"/>
        <w:spacing w:line="600" w:lineRule="exact"/>
        <w:ind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Pr="00891E07">
        <w:rPr>
          <w:rFonts w:ascii="仿宋" w:eastAsia="仿宋" w:hAnsi="仿宋" w:cs="仿宋" w:hint="eastAsia"/>
          <w:b/>
          <w:sz w:val="32"/>
          <w:szCs w:val="32"/>
        </w:rPr>
        <w:t xml:space="preserve"> 注：人代会报告中我区一般公共预算支出为142515万元与总决算表中支出数142644万元差额为中德合作造林项目贷款129万元。由于省财政厅于2021年7月份按照财政部总决算审核要求将此项目支出需在当年决算中列决，因此总决算表中数据在人代会批准后更正产生差额。</w:t>
      </w:r>
    </w:p>
    <w:p w:rsidR="00D05EC0" w:rsidRPr="00C36A0D" w:rsidRDefault="00D05EC0" w:rsidP="00C36A0D">
      <w:pPr>
        <w:pStyle w:val="4"/>
        <w:spacing w:line="600" w:lineRule="exac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C36A0D">
        <w:rPr>
          <w:rFonts w:asciiTheme="majorEastAsia" w:eastAsiaTheme="majorEastAsia" w:hAnsiTheme="majorEastAsia" w:hint="eastAsia"/>
          <w:bCs/>
          <w:sz w:val="44"/>
          <w:szCs w:val="44"/>
        </w:rPr>
        <w:lastRenderedPageBreak/>
        <w:t>2020年</w:t>
      </w:r>
      <w:r w:rsidR="00680DFA">
        <w:rPr>
          <w:rFonts w:asciiTheme="majorEastAsia" w:eastAsiaTheme="majorEastAsia" w:hAnsiTheme="majorEastAsia" w:hint="eastAsia"/>
          <w:bCs/>
          <w:sz w:val="44"/>
          <w:szCs w:val="44"/>
        </w:rPr>
        <w:t>政府</w:t>
      </w:r>
      <w:r w:rsidRPr="00C36A0D">
        <w:rPr>
          <w:rFonts w:asciiTheme="majorEastAsia" w:eastAsiaTheme="majorEastAsia" w:hAnsiTheme="majorEastAsia" w:hint="eastAsia"/>
          <w:bCs/>
          <w:sz w:val="44"/>
          <w:szCs w:val="44"/>
        </w:rPr>
        <w:t>决算</w:t>
      </w:r>
      <w:r w:rsidR="00680DFA">
        <w:rPr>
          <w:rFonts w:asciiTheme="majorEastAsia" w:eastAsiaTheme="majorEastAsia" w:hAnsiTheme="majorEastAsia" w:hint="eastAsia"/>
          <w:bCs/>
          <w:sz w:val="44"/>
          <w:szCs w:val="44"/>
        </w:rPr>
        <w:t>公开附表</w:t>
      </w:r>
    </w:p>
    <w:p w:rsidR="00D05EC0" w:rsidRPr="00CC21F3" w:rsidRDefault="00680DFA" w:rsidP="00680DFA">
      <w:pPr>
        <w:pStyle w:val="a0"/>
        <w:spacing w:line="60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 w:rsidRPr="00CC21F3">
        <w:rPr>
          <w:rFonts w:ascii="仿宋" w:eastAsia="仿宋" w:hAnsi="仿宋" w:cs="仿宋" w:hint="eastAsia"/>
          <w:sz w:val="28"/>
          <w:szCs w:val="28"/>
        </w:rPr>
        <w:t xml:space="preserve"> 1、2020年度龙城区一般公共预算收支决算总表</w:t>
      </w:r>
    </w:p>
    <w:p w:rsidR="00D05EC0" w:rsidRPr="00CC21F3" w:rsidRDefault="00680DFA" w:rsidP="00680DFA">
      <w:pPr>
        <w:pStyle w:val="a0"/>
        <w:spacing w:line="600" w:lineRule="exact"/>
        <w:ind w:firstLine="0"/>
        <w:rPr>
          <w:rFonts w:ascii="仿宋" w:eastAsia="仿宋" w:hAnsi="仿宋" w:cs="仿宋"/>
          <w:sz w:val="28"/>
          <w:szCs w:val="28"/>
        </w:rPr>
      </w:pPr>
      <w:r w:rsidRPr="00CC21F3">
        <w:rPr>
          <w:rFonts w:ascii="仿宋" w:eastAsia="仿宋" w:hAnsi="仿宋" w:cs="仿宋" w:hint="eastAsia"/>
          <w:sz w:val="28"/>
          <w:szCs w:val="28"/>
        </w:rPr>
        <w:t xml:space="preserve">   2、2020年度龙城区一般公共预算收支决算总表</w:t>
      </w:r>
    </w:p>
    <w:p w:rsidR="00D05EC0" w:rsidRPr="00CC21F3" w:rsidRDefault="00680DFA" w:rsidP="00680DFA">
      <w:pPr>
        <w:pStyle w:val="a0"/>
        <w:spacing w:line="600" w:lineRule="exact"/>
        <w:ind w:firstLine="0"/>
        <w:rPr>
          <w:rFonts w:ascii="仿宋" w:eastAsia="仿宋" w:hAnsi="仿宋" w:cs="仿宋"/>
          <w:sz w:val="28"/>
          <w:szCs w:val="28"/>
        </w:rPr>
      </w:pPr>
      <w:r w:rsidRPr="00CC21F3">
        <w:rPr>
          <w:rFonts w:ascii="仿宋" w:eastAsia="仿宋" w:hAnsi="仿宋" w:cs="仿宋" w:hint="eastAsia"/>
          <w:sz w:val="28"/>
          <w:szCs w:val="28"/>
        </w:rPr>
        <w:t xml:space="preserve">   3、2020年度龙城区一般公共预算收入决算明细表</w:t>
      </w:r>
    </w:p>
    <w:p w:rsidR="00D05EC0" w:rsidRPr="00CC21F3" w:rsidRDefault="00680DFA" w:rsidP="00680DFA">
      <w:pPr>
        <w:pStyle w:val="a0"/>
        <w:spacing w:line="600" w:lineRule="exact"/>
        <w:ind w:firstLine="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cs="仿宋" w:hint="eastAsia"/>
          <w:sz w:val="28"/>
          <w:szCs w:val="28"/>
        </w:rPr>
        <w:t xml:space="preserve">   4、2020年度龙城区一般公共预算支出决算功能分类明细表</w:t>
      </w:r>
    </w:p>
    <w:p w:rsidR="00ED47BE" w:rsidRPr="00CC21F3" w:rsidRDefault="00680DFA" w:rsidP="00680DFA">
      <w:pPr>
        <w:spacing w:line="600" w:lineRule="exact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 xml:space="preserve">   5、2020年度龙城区一般公共预算支出决算经济分类明细表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6、2020年度龙城区一般公共预算转移性和债务相关收支决算明细表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7、2020年度龙城区一般公共预算收支决算分级表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8、2020年度龙城区一般公共预算收支及平衡情况表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9、2020年度龙城区政府性基金预算收支决算总表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10、2020年度龙城区政府性基金预算收入决算明细表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11、2020年度龙城区政府性基金预算支出决算功能分类明细表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12、2020年度龙城区政府性基金预算收支决算分级表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13、2020年度龙城区政府性基金预算收支及平衡情况表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14、2020年度龙城区国有资本经营预算收支决算总表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15、2020年度龙城区国有资本经营预算收支决算明细表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16、2020年度龙城区国有资本经营预算收支决算分级表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17、2020年度龙城区国有资本经营预算收支及平衡情况表</w:t>
      </w:r>
    </w:p>
    <w:p w:rsidR="00891E07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18、2020年度龙城区社会保险基金预算收支情况表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19、2020年度龙城区地方政府债务余额情况表</w:t>
      </w:r>
    </w:p>
    <w:p w:rsidR="00680DFA" w:rsidRPr="00CC21F3" w:rsidRDefault="00680DFA" w:rsidP="00680DFA">
      <w:pPr>
        <w:pStyle w:val="a0"/>
        <w:rPr>
          <w:rFonts w:ascii="仿宋" w:eastAsia="仿宋" w:hAnsi="仿宋"/>
          <w:sz w:val="28"/>
          <w:szCs w:val="28"/>
        </w:rPr>
      </w:pPr>
      <w:r w:rsidRPr="00CC21F3">
        <w:rPr>
          <w:rFonts w:ascii="仿宋" w:eastAsia="仿宋" w:hAnsi="仿宋" w:hint="eastAsia"/>
          <w:sz w:val="28"/>
          <w:szCs w:val="28"/>
        </w:rPr>
        <w:t>20、2020年龙城区财政拨款三公经费情况汇总表</w:t>
      </w:r>
    </w:p>
    <w:sectPr w:rsidR="00680DFA" w:rsidRPr="00CC21F3" w:rsidSect="00C36A0D">
      <w:footerReference w:type="default" r:id="rId6"/>
      <w:pgSz w:w="11907" w:h="16840"/>
      <w:pgMar w:top="1474" w:right="1474" w:bottom="147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922" w:rsidRDefault="00A62922" w:rsidP="00D05EC0">
      <w:r>
        <w:separator/>
      </w:r>
    </w:p>
  </w:endnote>
  <w:endnote w:type="continuationSeparator" w:id="1">
    <w:p w:rsidR="00A62922" w:rsidRDefault="00A62922" w:rsidP="00D0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81" w:rsidRDefault="008E02A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margin-left:0;margin-top:0;width:4.55pt;height:10.3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AfwAIAALI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BRpx00KK7b1/vvv+8+/EFBaY8Q68S8LruwU/vLsUO2mypqv5KFB8U4mLVEF7T&#10;CynF0FBSQnq+uekeXR1xlAHZDK9ECXHIjRYWaFfJztQOqoEAHdp0e2gN3WlUwOZssYhmGBVw4p/6&#10;YTizAUgy3e2l0i+o6JAxUiyh8RabbK+UNrmQZHIxobjIWdva5rf8wQY4jjsQGa6aM5OD7eWn2IvX&#10;0ToKnTCYr53QyzLnIl+Fzjz3F7PsNFutMv+zieuHScPKknITZtKVH/5Z3/YKHxVxUJYSLSsNnElJ&#10;yXqzaiXaEtB1br99QY7c3Idp2CIAl0eU/CD0LoPYyefRwgnzcObECy9yPD++jOdeGIdZ/pDSFeP0&#10;3ymhATo5ixamqV0P+lO8HmX1W56e/Z7yJEnHNEyRlnUpjg5OJDFiXPPStlkT1o72UVkMlfuyQOun&#10;plvpGrWOutW7zQ5QjJ43orwFEUsBKgOlwugDoxHyI0YDjJEUc5hzGLUvOTwDM3EmQ07GZjIIL+Bi&#10;ijVGo7nS42S66SWrG8CdHtoFPJWcWR3f57B/YDAYLIX9EDOT5/jfet2P2uUvAAAA//8DAFBLAwQU&#10;AAYACAAAACEAgVQ05tsAAAACAQAADwAAAGRycy9kb3ducmV2LnhtbEyPQUsDMRCF74X+hzCCl2KT&#10;FqnturOlCr0p2Cp4TTfj7tbNZEnS7eqvN/ail4HHe7z3Tb4ebCt68qFxjDCbKhDEpTMNVwhvr9ub&#10;JYgQNRvdOiaELwqwLsajXGfGnXlH/T5WIpVwyDRCHWOXSRnKmqwOU9cRJ+/Deatjkr6SxutzKret&#10;nCu1kFY3nBZq3dFjTeXn/mQR3p++iXbLh8mkvz0evdquXkr5jHh9NWzuQUQa4l8YfvETOhSJ6eBO&#10;bIJoEdIj8XKTt5qBOCDM1R3IIpf/0YsfAAAA//8DAFBLAQItABQABgAIAAAAIQC2gziS/gAAAOEB&#10;AAATAAAAAAAAAAAAAAAAAAAAAABbQ29udGVudF9UeXBlc10ueG1sUEsBAi0AFAAGAAgAAAAhADj9&#10;If/WAAAAlAEAAAsAAAAAAAAAAAAAAAAALwEAAF9yZWxzLy5yZWxzUEsBAi0AFAAGAAgAAAAhAHID&#10;0B/AAgAAsgUAAA4AAAAAAAAAAAAAAAAALgIAAGRycy9lMm9Eb2MueG1sUEsBAi0AFAAGAAgAAAAh&#10;AIFUNObbAAAAAgEAAA8AAAAAAAAAAAAAAAAAGgUAAGRycy9kb3ducmV2LnhtbFBLBQYAAAAABAAE&#10;APMAAAAiBgAAAAA=&#10;" filled="f" stroked="f" strokeweight="1.25pt">
          <v:textbox style="mso-fit-shape-to-text:t" inset="0,0,0,0">
            <w:txbxContent>
              <w:p w:rsidR="00F27081" w:rsidRDefault="008E02AF">
                <w:pPr>
                  <w:pStyle w:val="a4"/>
                </w:pPr>
                <w:r>
                  <w:fldChar w:fldCharType="begin"/>
                </w:r>
                <w:r w:rsidR="00637F9D">
                  <w:instrText xml:space="preserve"> PAGE  \* MERGEFORMAT </w:instrText>
                </w:r>
                <w:r>
                  <w:fldChar w:fldCharType="separate"/>
                </w:r>
                <w:r w:rsidR="00A54F1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1" o:spid="_x0000_s4097" type="#_x0000_t202" style="position:absolute;margin-left:0;margin-top:0;width:4.5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qawAIAALkFAAAOAAAAZHJzL2Uyb0RvYy54bWysVMtunDAU3VfqP1jeE2DCzAAKEyXDUFVK&#10;H1LaD/CAAatgI9sZSKtu2z/oqpvu+135jl6bYTJJVKlqywJd29fnPs7xPTsf2gbtqFRM8AT7Jx5G&#10;lOeiYLxK8Pt3mRNipDThBWkEpwm+pQqfr54/O+u7mM5ELZqCSgQgXMV9l+Ba6y52XZXXtCXqRHSU&#10;w2EpZEs0LGXlFpL0gN427szzFm4vZNFJkVOlYDcdD/HK4pclzfWbslRUoybBkJu2f2n/W/N3V2ck&#10;riTpapbv0yB/kUVLGIegB6iUaIJuJHsC1bJcCiVKfZKL1hVlyXJqa4BqfO9RNdc16aitBZqjukOb&#10;1P+DzV/v3krECuAOI05aoOju29e77z/vfnxBvmlP36kYvK478NPDpRiMqylVdVci/6AQF+ua8Ipe&#10;SCn6mpIC0rM33aOrI44yINv+lSggDrnRwgINpWwNIHQDATrQdHughg4a5bA5Xy7DOUY5nPinfhDM&#10;TWouiae7nVT6BRUtMkaCJRBvscnuSunRdXIxobjIWNNY8hv+YAMwxx2IDFfNmcnBcvkp8qJNuAkD&#10;J5gtNk7gpalzka0DZ5H5y3l6mq7Xqf/ZxPWDuGZFQbkJM+nKD/6Mt73CR0UclKVEwwoDZ1JSstqu&#10;G4l2BHSd2W/fkCM392Eatl9Qy6OS/FngXc4iJ1uESyfIgrkTLb3Q8fzoMlp4QRSk2cOSrhin/14S&#10;6oHJebg0pLYd6E/xapTVb+v07Pe0ThK3TMMUaVib4PDgRGIjxg0vLM2asGa0j9piSrlvC1A/kW6l&#10;a9Q66lYP22H/SADMyHorilvQshQgNhAsTEAwaiE/YtTDNEkwh3GHUfOSw2swg2cy5GRsJ4PwHC4m&#10;WGM0mms9DqibTrKqBtzpvV3Ai8mYlfN9DpC/WcB8sJXsZ5kZQMdr63U/cVe/AAAA//8DAFBLAwQU&#10;AAYACAAAACEAgVQ05tsAAAACAQAADwAAAGRycy9kb3ducmV2LnhtbEyPQUsDMRCF74X+hzCCl2KT&#10;FqnturOlCr0p2Cp4TTfj7tbNZEnS7eqvN/ail4HHe7z3Tb4ebCt68qFxjDCbKhDEpTMNVwhvr9ub&#10;JYgQNRvdOiaELwqwLsajXGfGnXlH/T5WIpVwyDRCHWOXSRnKmqwOU9cRJ+/Deatjkr6SxutzKret&#10;nCu1kFY3nBZq3dFjTeXn/mQR3p++iXbLh8mkvz0evdquXkr5jHh9NWzuQUQa4l8YfvETOhSJ6eBO&#10;bIJoEdIj8XKTt5qBOCDM1R3IIpf/0YsfAAAA//8DAFBLAQItABQABgAIAAAAIQC2gziS/gAAAOEB&#10;AAATAAAAAAAAAAAAAAAAAAAAAABbQ29udGVudF9UeXBlc10ueG1sUEsBAi0AFAAGAAgAAAAhADj9&#10;If/WAAAAlAEAAAsAAAAAAAAAAAAAAAAALwEAAF9yZWxzLy5yZWxzUEsBAi0AFAAGAAgAAAAhABNT&#10;OprAAgAAuQUAAA4AAAAAAAAAAAAAAAAALgIAAGRycy9lMm9Eb2MueG1sUEsBAi0AFAAGAAgAAAAh&#10;AIFUNObbAAAAAgEAAA8AAAAAAAAAAAAAAAAAGgUAAGRycy9kb3ducmV2LnhtbFBLBQYAAAAABAAE&#10;APMAAAAiBgAAAAA=&#10;" filled="f" stroked="f" strokeweight="1.25pt">
          <v:textbox style="mso-fit-shape-to-text:t" inset="0,0,0,0">
            <w:txbxContent>
              <w:p w:rsidR="008C0577" w:rsidRDefault="00637F9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1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922" w:rsidRDefault="00A62922" w:rsidP="00D05EC0">
      <w:r>
        <w:separator/>
      </w:r>
    </w:p>
  </w:footnote>
  <w:footnote w:type="continuationSeparator" w:id="1">
    <w:p w:rsidR="00A62922" w:rsidRDefault="00A62922" w:rsidP="00D05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EC0"/>
    <w:rsid w:val="00080215"/>
    <w:rsid w:val="004B32EC"/>
    <w:rsid w:val="00546F2D"/>
    <w:rsid w:val="00637F9D"/>
    <w:rsid w:val="00680DFA"/>
    <w:rsid w:val="00884278"/>
    <w:rsid w:val="00891E07"/>
    <w:rsid w:val="008C0577"/>
    <w:rsid w:val="008E02AF"/>
    <w:rsid w:val="00934364"/>
    <w:rsid w:val="00934957"/>
    <w:rsid w:val="00A54F1B"/>
    <w:rsid w:val="00A62922"/>
    <w:rsid w:val="00BE04CB"/>
    <w:rsid w:val="00C16EFC"/>
    <w:rsid w:val="00C36A0D"/>
    <w:rsid w:val="00C47F3C"/>
    <w:rsid w:val="00CC21F3"/>
    <w:rsid w:val="00D05EC0"/>
    <w:rsid w:val="00ED47BE"/>
    <w:rsid w:val="00F2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5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D05EC0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rsid w:val="00D05EC0"/>
    <w:rPr>
      <w:rFonts w:ascii="Arial" w:eastAsia="黑体" w:hAnsi="Arial" w:cs="Times New Roman"/>
      <w:b/>
      <w:sz w:val="28"/>
      <w:szCs w:val="24"/>
    </w:rPr>
  </w:style>
  <w:style w:type="paragraph" w:styleId="a0">
    <w:name w:val="Normal Indent"/>
    <w:basedOn w:val="a"/>
    <w:uiPriority w:val="99"/>
    <w:rsid w:val="00D05EC0"/>
    <w:pPr>
      <w:ind w:firstLine="420"/>
    </w:pPr>
    <w:rPr>
      <w:rFonts w:ascii="Calibri" w:hAnsi="Calibri"/>
      <w:szCs w:val="22"/>
    </w:rPr>
  </w:style>
  <w:style w:type="paragraph" w:styleId="a4">
    <w:name w:val="footer"/>
    <w:basedOn w:val="a"/>
    <w:link w:val="Char"/>
    <w:rsid w:val="00D05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D05EC0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rsid w:val="00D05EC0"/>
  </w:style>
  <w:style w:type="paragraph" w:styleId="a5">
    <w:name w:val="header"/>
    <w:basedOn w:val="a"/>
    <w:link w:val="Char0"/>
    <w:uiPriority w:val="99"/>
    <w:unhideWhenUsed/>
    <w:rsid w:val="00D0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D05E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5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D05EC0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rsid w:val="00D05EC0"/>
    <w:rPr>
      <w:rFonts w:ascii="Arial" w:eastAsia="黑体" w:hAnsi="Arial" w:cs="Times New Roman"/>
      <w:b/>
      <w:sz w:val="28"/>
      <w:szCs w:val="24"/>
    </w:rPr>
  </w:style>
  <w:style w:type="paragraph" w:styleId="a0">
    <w:name w:val="Normal Indent"/>
    <w:basedOn w:val="a"/>
    <w:uiPriority w:val="99"/>
    <w:rsid w:val="00D05EC0"/>
    <w:pPr>
      <w:ind w:firstLine="420"/>
    </w:pPr>
    <w:rPr>
      <w:rFonts w:ascii="Calibri" w:hAnsi="Calibri"/>
      <w:szCs w:val="22"/>
    </w:rPr>
  </w:style>
  <w:style w:type="paragraph" w:styleId="a4">
    <w:name w:val="footer"/>
    <w:basedOn w:val="a"/>
    <w:link w:val="Char"/>
    <w:rsid w:val="00D05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D05EC0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rsid w:val="00D05EC0"/>
  </w:style>
  <w:style w:type="paragraph" w:styleId="a5">
    <w:name w:val="header"/>
    <w:basedOn w:val="a"/>
    <w:link w:val="Char0"/>
    <w:uiPriority w:val="99"/>
    <w:unhideWhenUsed/>
    <w:rsid w:val="00D0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D05E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15</cp:revision>
  <dcterms:created xsi:type="dcterms:W3CDTF">2021-05-24T02:55:00Z</dcterms:created>
  <dcterms:modified xsi:type="dcterms:W3CDTF">2021-10-25T01:20:00Z</dcterms:modified>
</cp:coreProperties>
</file>